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CF0" w14:textId="6E7991E4" w:rsidR="004E7A20" w:rsidRPr="004E7A20" w:rsidRDefault="004E7A20" w:rsidP="004E7A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20">
        <w:rPr>
          <w:rFonts w:ascii="Times New Roman" w:hAnsi="Times New Roman" w:cs="Times New Roman"/>
          <w:sz w:val="24"/>
          <w:szCs w:val="24"/>
        </w:rPr>
        <w:t>Expanding on themes of week 4</w:t>
      </w:r>
    </w:p>
    <w:p w14:paraId="62701A62" w14:textId="77777777" w:rsidR="004E7A20" w:rsidRDefault="004E7A20" w:rsidP="004E7A2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20">
        <w:rPr>
          <w:rFonts w:ascii="Times New Roman" w:hAnsi="Times New Roman" w:cs="Times New Roman"/>
          <w:sz w:val="24"/>
          <w:szCs w:val="24"/>
        </w:rPr>
        <w:t xml:space="preserve"> Consider the arguments &amp; evidence in the two Schoppa articles in order to offer at least one if not several ways to consider connecting the two pieces into a common framework.</w:t>
      </w:r>
    </w:p>
    <w:p w14:paraId="0E405361" w14:textId="77777777" w:rsidR="004E7A20" w:rsidRDefault="004E7A20" w:rsidP="004E7A2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20">
        <w:rPr>
          <w:rFonts w:ascii="Times New Roman" w:hAnsi="Times New Roman" w:cs="Times New Roman"/>
          <w:sz w:val="24"/>
          <w:szCs w:val="24"/>
        </w:rPr>
        <w:t>Next, read McCord readings and assess the different ways he and Schoppa view the province and its possible relations to the “state,” in the sense of some central authority.</w:t>
      </w:r>
    </w:p>
    <w:p w14:paraId="4EC3EE2C" w14:textId="77777777" w:rsidR="004E7A20" w:rsidRDefault="004E7A20" w:rsidP="004E7A2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20">
        <w:rPr>
          <w:rFonts w:ascii="Times New Roman" w:hAnsi="Times New Roman" w:cs="Times New Roman"/>
          <w:sz w:val="24"/>
          <w:szCs w:val="24"/>
        </w:rPr>
        <w:t xml:space="preserve">Then read Elvin and consider the elements of “self-government” in this case and in those Schoppa’s self-government article consider. </w:t>
      </w:r>
    </w:p>
    <w:p w14:paraId="45858984" w14:textId="77777777" w:rsidR="004E7A20" w:rsidRDefault="004E7A20" w:rsidP="004E7A2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20">
        <w:rPr>
          <w:rFonts w:ascii="Times New Roman" w:hAnsi="Times New Roman" w:cs="Times New Roman"/>
          <w:sz w:val="24"/>
          <w:szCs w:val="24"/>
        </w:rPr>
        <w:t xml:space="preserve">Finally, consider the ways in which the previous four readings can and/or cannot fit into the kinds of contrasts Wong proposes for thinking about late imperial, Republican era, and early 21st-century relations between “state” and “society.”  </w:t>
      </w:r>
    </w:p>
    <w:p w14:paraId="7313A9D1" w14:textId="77777777" w:rsidR="004E7A20" w:rsidRDefault="004E7A20" w:rsidP="004E7A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A20">
        <w:rPr>
          <w:rFonts w:ascii="Times New Roman" w:hAnsi="Times New Roman" w:cs="Times New Roman"/>
          <w:sz w:val="24"/>
          <w:szCs w:val="24"/>
        </w:rPr>
        <w:t>Compare (similarities &amp; differences, implications of each) Rowe &amp; Ma readings and how they each do (or do not) address the concerns Gunn sketches out in his introduction to the journal issue.</w:t>
      </w:r>
    </w:p>
    <w:p w14:paraId="3E5ADE8D" w14:textId="76DD99D6" w:rsidR="004E7A20" w:rsidRPr="004E7A20" w:rsidRDefault="004E7A20" w:rsidP="004E7A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20">
        <w:rPr>
          <w:rFonts w:ascii="Times New Roman" w:hAnsi="Times New Roman" w:cs="Times New Roman"/>
          <w:sz w:val="24"/>
          <w:szCs w:val="24"/>
        </w:rPr>
        <w:t>Consider William Rowe’s argument in his article just read about a city’s guilds</w:t>
      </w:r>
      <w:r w:rsidRPr="004E7A20">
        <w:rPr>
          <w:rFonts w:ascii="Times New Roman" w:hAnsi="Times New Roman" w:cs="Times New Roman"/>
          <w:sz w:val="24"/>
          <w:szCs w:val="24"/>
        </w:rPr>
        <w:t>’</w:t>
      </w:r>
      <w:r w:rsidRPr="004E7A20">
        <w:rPr>
          <w:rFonts w:ascii="Times New Roman" w:hAnsi="Times New Roman" w:cs="Times New Roman"/>
          <w:sz w:val="24"/>
          <w:szCs w:val="24"/>
        </w:rPr>
        <w:t xml:space="preserve"> abilit</w:t>
      </w:r>
      <w:r w:rsidR="00CB4C37">
        <w:rPr>
          <w:rFonts w:ascii="Times New Roman" w:hAnsi="Times New Roman" w:cs="Times New Roman"/>
          <w:sz w:val="24"/>
          <w:szCs w:val="24"/>
        </w:rPr>
        <w:t>ies</w:t>
      </w:r>
      <w:r w:rsidRPr="004E7A20">
        <w:rPr>
          <w:rFonts w:ascii="Times New Roman" w:hAnsi="Times New Roman" w:cs="Times New Roman"/>
          <w:sz w:val="24"/>
          <w:szCs w:val="24"/>
        </w:rPr>
        <w:t xml:space="preserve"> to build “urban community” (last paragraph beginning on p 125) complemented by Schoppa’s review of his second volume on Hankow</w:t>
      </w:r>
      <w:r w:rsidRPr="004E7A20">
        <w:rPr>
          <w:rFonts w:ascii="Times New Roman" w:hAnsi="Times New Roman" w:cs="Times New Roman"/>
          <w:sz w:val="24"/>
          <w:szCs w:val="24"/>
        </w:rPr>
        <w:t xml:space="preserve">. Then assess </w:t>
      </w:r>
      <w:r w:rsidRPr="004E7A20">
        <w:rPr>
          <w:rFonts w:ascii="Times New Roman" w:hAnsi="Times New Roman" w:cs="Times New Roman"/>
          <w:sz w:val="24"/>
          <w:szCs w:val="24"/>
        </w:rPr>
        <w:t>the contrast he draws with Bryna Goodman’s article. Can you think of alternative ways to assess and relate historiographically these two historians’ arguments about native place, urban community, and nation?</w:t>
      </w:r>
    </w:p>
    <w:p w14:paraId="0E788877" w14:textId="61640248" w:rsidR="004E7A20" w:rsidRPr="004E7A20" w:rsidRDefault="004E7A20" w:rsidP="004E7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7A20" w:rsidRPr="004E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2338"/>
    <w:multiLevelType w:val="hybridMultilevel"/>
    <w:tmpl w:val="13167DFA"/>
    <w:lvl w:ilvl="0" w:tplc="154C6B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2CCC"/>
    <w:multiLevelType w:val="hybridMultilevel"/>
    <w:tmpl w:val="1C1EED6E"/>
    <w:lvl w:ilvl="0" w:tplc="FE00F3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1542991">
    <w:abstractNumId w:val="0"/>
  </w:num>
  <w:num w:numId="2" w16cid:durableId="205777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20"/>
    <w:rsid w:val="004E7A20"/>
    <w:rsid w:val="00C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F3E9"/>
  <w15:chartTrackingRefBased/>
  <w15:docId w15:val="{40238BBA-E456-4A32-98B1-9C6138A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Wong</dc:creator>
  <cp:keywords/>
  <dc:description/>
  <cp:lastModifiedBy>Bin Wong</cp:lastModifiedBy>
  <cp:revision>3</cp:revision>
  <dcterms:created xsi:type="dcterms:W3CDTF">2022-10-20T23:12:00Z</dcterms:created>
  <dcterms:modified xsi:type="dcterms:W3CDTF">2022-10-20T23:17:00Z</dcterms:modified>
</cp:coreProperties>
</file>